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bookmarkStart w:id="0" w:name="_GoBack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</w:rPr>
        <w:t>城市管理驿站设置标准</w:t>
      </w: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  <w:bookmarkEnd w:id="0"/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3C307A22"/>
    <w:rsid w:val="42760BA8"/>
    <w:rsid w:val="7AC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5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陈海柳</cp:lastModifiedBy>
  <cp:lastPrinted>2010-02-21T10:30:00Z</cp:lastPrinted>
  <dcterms:modified xsi:type="dcterms:W3CDTF">2024-04-09T07:21:40Z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8F4F38107949494CAE27B97F9C8307E3_13</vt:lpwstr>
  </property>
</Properties>
</file>